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8D7" w:rsidRDefault="00154D19" w:rsidP="00920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ГАЗ: П</w:t>
      </w:r>
      <w:r w:rsidRPr="00F1380F">
        <w:rPr>
          <w:rFonts w:ascii="Times New Roman" w:hAnsi="Times New Roman" w:cs="Times New Roman"/>
          <w:b/>
          <w:sz w:val="28"/>
          <w:szCs w:val="28"/>
          <w:lang w:val="uk-UA"/>
        </w:rPr>
        <w:t>ІДСУМКИ-2015, ПРОГНОЗ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F13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-2016. </w:t>
      </w:r>
    </w:p>
    <w:p w:rsidR="00230D39" w:rsidRDefault="00476B13" w:rsidP="00920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Попередні оцінки у системі</w:t>
      </w:r>
    </w:p>
    <w:p w:rsidR="002E48D7" w:rsidRPr="00F1380F" w:rsidRDefault="002E48D7" w:rsidP="00920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«видобуток – імпорт –</w:t>
      </w:r>
      <w:r w:rsidR="00C07FFC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230D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зберігання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споживання</w:t>
      </w:r>
      <w:r w:rsidR="00C07FFC" w:rsidRPr="00C07F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07FFC">
        <w:rPr>
          <w:rFonts w:ascii="Times New Roman" w:hAnsi="Times New Roman" w:cs="Times New Roman"/>
          <w:b/>
          <w:sz w:val="28"/>
          <w:szCs w:val="28"/>
          <w:lang w:val="uk-UA"/>
        </w:rPr>
        <w:t>– транзит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C07FFC" w:rsidRDefault="00C07FFC" w:rsidP="009201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07FFC" w:rsidRDefault="00C07FFC" w:rsidP="009201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Спільна оцінка </w:t>
      </w:r>
      <w:r w:rsidR="00F1380F">
        <w:rPr>
          <w:rFonts w:ascii="Times New Roman" w:hAnsi="Times New Roman" w:cs="Times New Roman"/>
          <w:sz w:val="28"/>
          <w:szCs w:val="28"/>
          <w:lang w:val="uk-UA"/>
        </w:rPr>
        <w:t>Центр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13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380F">
        <w:rPr>
          <w:rFonts w:ascii="Times New Roman" w:hAnsi="Times New Roman" w:cs="Times New Roman"/>
          <w:sz w:val="28"/>
          <w:szCs w:val="28"/>
          <w:lang w:val="uk-UA"/>
        </w:rPr>
        <w:t>глобалістики</w:t>
      </w:r>
      <w:proofErr w:type="spellEnd"/>
      <w:r w:rsidR="00F1380F">
        <w:rPr>
          <w:rFonts w:ascii="Times New Roman" w:hAnsi="Times New Roman" w:cs="Times New Roman"/>
          <w:sz w:val="28"/>
          <w:szCs w:val="28"/>
          <w:lang w:val="uk-UA"/>
        </w:rPr>
        <w:t xml:space="preserve"> «Стратегія ХХІ»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</w:p>
    <w:p w:rsidR="00F1380F" w:rsidRPr="00C07FFC" w:rsidRDefault="00C07FFC" w:rsidP="009201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Київського міжнародного енергетичного</w:t>
      </w:r>
      <w:r w:rsidR="00F1380F">
        <w:rPr>
          <w:rFonts w:ascii="Times New Roman" w:hAnsi="Times New Roman" w:cs="Times New Roman"/>
          <w:sz w:val="28"/>
          <w:szCs w:val="28"/>
          <w:lang w:val="uk-UA"/>
        </w:rPr>
        <w:t xml:space="preserve"> клуб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13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1380F">
        <w:rPr>
          <w:rFonts w:ascii="Times New Roman" w:hAnsi="Times New Roman" w:cs="Times New Roman"/>
          <w:sz w:val="28"/>
          <w:szCs w:val="28"/>
        </w:rPr>
        <w:t>Q</w:t>
      </w:r>
      <w:r w:rsidR="00F1380F" w:rsidRPr="00F1380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F1380F">
        <w:rPr>
          <w:rFonts w:ascii="Times New Roman" w:hAnsi="Times New Roman" w:cs="Times New Roman"/>
          <w:sz w:val="28"/>
          <w:szCs w:val="28"/>
        </w:rPr>
        <w:t>Club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936DBE" w:rsidRPr="00936DBE" w:rsidRDefault="00936DBE" w:rsidP="009201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D2562">
        <w:rPr>
          <w:noProof/>
        </w:rPr>
        <w:drawing>
          <wp:anchor distT="0" distB="0" distL="114300" distR="114300" simplePos="0" relativeHeight="251659264" behindDoc="1" locked="0" layoutInCell="1" allowOverlap="1" wp14:anchorId="6CDA1EED" wp14:editId="06E15E2A">
            <wp:simplePos x="0" y="0"/>
            <wp:positionH relativeFrom="margin">
              <wp:posOffset>3735705</wp:posOffset>
            </wp:positionH>
            <wp:positionV relativeFrom="paragraph">
              <wp:posOffset>165100</wp:posOffset>
            </wp:positionV>
            <wp:extent cx="751205" cy="524510"/>
            <wp:effectExtent l="0" t="0" r="0" b="8890"/>
            <wp:wrapTight wrapText="bothSides">
              <wp:wrapPolygon edited="0">
                <wp:start x="1096" y="0"/>
                <wp:lineTo x="0" y="3138"/>
                <wp:lineTo x="0" y="21182"/>
                <wp:lineTo x="3287" y="21182"/>
                <wp:lineTo x="9860" y="21182"/>
                <wp:lineTo x="19172" y="20397"/>
                <wp:lineTo x="19719" y="13337"/>
                <wp:lineTo x="15885" y="13337"/>
                <wp:lineTo x="7669" y="0"/>
                <wp:lineTo x="1096" y="0"/>
              </wp:wrapPolygon>
            </wp:wrapTight>
            <wp:docPr id="10" name="Рисунок 10" descr="logo_en_Q-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en_Q-clu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01AE" w:rsidRPr="00C07FFC" w:rsidRDefault="00936DBE" w:rsidP="009201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B31112B" wp14:editId="446C5FA9">
            <wp:extent cx="771276" cy="453718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559" cy="466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07FF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</w:t>
      </w:r>
    </w:p>
    <w:p w:rsidR="00936DBE" w:rsidRDefault="00936DBE" w:rsidP="009201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1380F" w:rsidRPr="00C4495B" w:rsidRDefault="009201AE" w:rsidP="009201A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4495B">
        <w:rPr>
          <w:rFonts w:ascii="Times New Roman" w:hAnsi="Times New Roman" w:cs="Times New Roman"/>
          <w:b/>
          <w:sz w:val="26"/>
          <w:szCs w:val="26"/>
          <w:lang w:val="uk-UA"/>
        </w:rPr>
        <w:t>Підсумки-2015</w:t>
      </w:r>
    </w:p>
    <w:p w:rsidR="00340899" w:rsidRPr="00C4495B" w:rsidRDefault="00F1380F" w:rsidP="00920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Динаміка газового сектору у 2015 році зберігає позитивний тренд скорочення </w:t>
      </w:r>
      <w:proofErr w:type="spellStart"/>
      <w:r w:rsidR="007D5489" w:rsidRPr="00C4495B">
        <w:rPr>
          <w:rFonts w:ascii="Times New Roman" w:hAnsi="Times New Roman" w:cs="Times New Roman"/>
          <w:sz w:val="26"/>
          <w:szCs w:val="26"/>
          <w:lang w:val="uk-UA"/>
        </w:rPr>
        <w:t>газоємності</w:t>
      </w:r>
      <w:proofErr w:type="spellEnd"/>
      <w:r w:rsidR="007D5489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ВВП</w:t>
      </w:r>
      <w:r w:rsidR="002746D7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D5489" w:rsidRPr="00C4495B">
        <w:rPr>
          <w:rFonts w:ascii="Times New Roman" w:hAnsi="Times New Roman" w:cs="Times New Roman"/>
          <w:sz w:val="26"/>
          <w:szCs w:val="26"/>
          <w:lang w:val="uk-UA"/>
        </w:rPr>
        <w:t>через</w:t>
      </w:r>
      <w:r w:rsidR="002746D7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зменшення 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>загального споживання газу.</w:t>
      </w:r>
      <w:r w:rsidR="00476B13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Споживання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може скласти</w:t>
      </w:r>
      <w:r w:rsidR="00476B13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значно нижче прогнозних показників. З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>а підсумками</w:t>
      </w:r>
      <w:r w:rsidR="00476B13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11 місяців 2015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року</w:t>
      </w:r>
      <w:r w:rsidR="00476B13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можна спрогнозувати його обсяг на рівні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34,9 млрд. куб. м.</w:t>
      </w:r>
      <w:r w:rsidR="004328C2" w:rsidRPr="00C4495B">
        <w:rPr>
          <w:rFonts w:ascii="Times New Roman" w:hAnsi="Times New Roman" w:cs="Times New Roman"/>
          <w:sz w:val="26"/>
          <w:szCs w:val="26"/>
          <w:lang w:val="uk-UA"/>
        </w:rPr>
        <w:t>, що на 18% менше</w:t>
      </w:r>
      <w:r w:rsidR="00340899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порівнян</w:t>
      </w:r>
      <w:r w:rsidR="004328C2" w:rsidRPr="00C4495B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340899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328C2" w:rsidRPr="00C4495B">
        <w:rPr>
          <w:rFonts w:ascii="Times New Roman" w:hAnsi="Times New Roman" w:cs="Times New Roman"/>
          <w:sz w:val="26"/>
          <w:szCs w:val="26"/>
          <w:lang w:val="uk-UA"/>
        </w:rPr>
        <w:t>з</w:t>
      </w:r>
      <w:r w:rsidR="00340899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328C2" w:rsidRPr="00C4495B">
        <w:rPr>
          <w:rFonts w:ascii="Times New Roman" w:hAnsi="Times New Roman" w:cs="Times New Roman"/>
          <w:sz w:val="26"/>
          <w:szCs w:val="26"/>
          <w:lang w:val="uk-UA"/>
        </w:rPr>
        <w:t>2014 роком</w:t>
      </w:r>
      <w:r w:rsidR="007D5489" w:rsidRPr="00C4495B">
        <w:rPr>
          <w:rFonts w:ascii="Times New Roman" w:hAnsi="Times New Roman" w:cs="Times New Roman"/>
          <w:sz w:val="26"/>
          <w:szCs w:val="26"/>
          <w:lang w:val="uk-UA"/>
        </w:rPr>
        <w:t>, коли</w:t>
      </w:r>
      <w:r w:rsidR="00340899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споживання становило 42,6 млрд. куб. м. </w:t>
      </w:r>
      <w:r w:rsidR="002746D7" w:rsidRPr="00C4495B">
        <w:rPr>
          <w:rFonts w:ascii="Times New Roman" w:hAnsi="Times New Roman" w:cs="Times New Roman"/>
          <w:sz w:val="26"/>
          <w:szCs w:val="26"/>
          <w:lang w:val="uk-UA"/>
        </w:rPr>
        <w:t>Звісно, що</w:t>
      </w:r>
      <w:r w:rsidR="00476B13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таке скорочення</w:t>
      </w:r>
      <w:r w:rsidR="002746D7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пов’язане, передусім, з падінням промислового виробництва</w:t>
      </w:r>
      <w:r w:rsidR="007D5489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476B13" w:rsidRPr="00C4495B">
        <w:rPr>
          <w:rFonts w:ascii="Times New Roman" w:hAnsi="Times New Roman" w:cs="Times New Roman"/>
          <w:sz w:val="26"/>
          <w:szCs w:val="26"/>
          <w:lang w:val="uk-UA"/>
        </w:rPr>
        <w:t>і меншою мірою</w:t>
      </w:r>
      <w:r w:rsidR="007D5489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76B13" w:rsidRPr="00C4495B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="007D5489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з заходами </w:t>
      </w:r>
      <w:proofErr w:type="spellStart"/>
      <w:r w:rsidR="007D5489" w:rsidRPr="00C4495B">
        <w:rPr>
          <w:rFonts w:ascii="Times New Roman" w:hAnsi="Times New Roman" w:cs="Times New Roman"/>
          <w:sz w:val="26"/>
          <w:szCs w:val="26"/>
          <w:lang w:val="uk-UA"/>
        </w:rPr>
        <w:t>газозаощадження</w:t>
      </w:r>
      <w:proofErr w:type="spellEnd"/>
      <w:r w:rsidR="007D5489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proofErr w:type="spellStart"/>
      <w:r w:rsidR="007D5489" w:rsidRPr="00C4495B">
        <w:rPr>
          <w:rFonts w:ascii="Times New Roman" w:hAnsi="Times New Roman" w:cs="Times New Roman"/>
          <w:sz w:val="26"/>
          <w:szCs w:val="26"/>
          <w:lang w:val="uk-UA"/>
        </w:rPr>
        <w:t>газозаміщення</w:t>
      </w:r>
      <w:proofErr w:type="spellEnd"/>
      <w:r w:rsidR="007D5489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та енергоефективності</w:t>
      </w:r>
      <w:r w:rsidR="002746D7" w:rsidRPr="00C4495B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9201AE" w:rsidRPr="00C4495B" w:rsidRDefault="009201AE" w:rsidP="00920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4328C2" w:rsidRPr="00C4495B" w:rsidRDefault="00340899" w:rsidP="00920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4495B">
        <w:rPr>
          <w:rFonts w:ascii="Times New Roman" w:hAnsi="Times New Roman" w:cs="Times New Roman"/>
          <w:sz w:val="26"/>
          <w:szCs w:val="26"/>
          <w:lang w:val="uk-UA"/>
        </w:rPr>
        <w:t>Інший позитивний підсумок року – безпрецедентне в історії скорочення імпорту газу до рівня 17 млрд. куб.</w:t>
      </w:r>
      <w:r w:rsidR="00C27AF9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>м. Для порівняння: 10 років тому назад обсяг імпорту газу становив 57,6 млрд. куб.</w:t>
      </w:r>
      <w:r w:rsidR="00C27AF9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>м., у довоєнному 2013 році – 28,0 млрд. куб.</w:t>
      </w:r>
      <w:r w:rsidR="00C27AF9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м. </w:t>
      </w:r>
      <w:r w:rsidR="004328C2" w:rsidRPr="00C4495B">
        <w:rPr>
          <w:rFonts w:ascii="Times New Roman" w:hAnsi="Times New Roman" w:cs="Times New Roman"/>
          <w:sz w:val="26"/>
          <w:szCs w:val="26"/>
          <w:lang w:val="uk-UA"/>
        </w:rPr>
        <w:t>Із загального обсягу імпорту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328C2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постачання від Газпрому </w:t>
      </w:r>
      <w:r w:rsidR="00C27AF9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становитимуть </w:t>
      </w:r>
      <w:proofErr w:type="spellStart"/>
      <w:r w:rsidR="00154D19">
        <w:rPr>
          <w:rFonts w:ascii="Times New Roman" w:hAnsi="Times New Roman" w:cs="Times New Roman"/>
          <w:sz w:val="26"/>
          <w:szCs w:val="26"/>
          <w:lang w:val="uk-UA"/>
        </w:rPr>
        <w:t>цьогоріч</w:t>
      </w:r>
      <w:proofErr w:type="spellEnd"/>
      <w:r w:rsidR="00154D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C27AF9" w:rsidRPr="00C4495B">
        <w:rPr>
          <w:rFonts w:ascii="Times New Roman" w:hAnsi="Times New Roman" w:cs="Times New Roman"/>
          <w:sz w:val="26"/>
          <w:szCs w:val="26"/>
          <w:lang w:val="uk-UA"/>
        </w:rPr>
        <w:t>приблизно</w:t>
      </w:r>
      <w:r w:rsidR="004328C2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>6,2 млрд. куб. м.</w:t>
      </w:r>
      <w:r w:rsidR="004328C2" w:rsidRPr="00C4495B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328C2" w:rsidRPr="00C4495B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>мпор</w:t>
      </w:r>
      <w:r w:rsidR="002E48D7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т з ЄС </w:t>
      </w:r>
      <w:r w:rsidR="004328C2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перевищить його </w:t>
      </w:r>
      <w:r w:rsidR="00476B13" w:rsidRPr="00C4495B">
        <w:rPr>
          <w:rFonts w:ascii="Times New Roman" w:hAnsi="Times New Roman" w:cs="Times New Roman"/>
          <w:sz w:val="26"/>
          <w:szCs w:val="26"/>
          <w:lang w:val="uk-UA"/>
        </w:rPr>
        <w:t>на 74%  і становитиме приблизно</w:t>
      </w:r>
      <w:r w:rsidR="002E48D7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10</w:t>
      </w:r>
      <w:r w:rsidR="004328C2" w:rsidRPr="00C4495B">
        <w:rPr>
          <w:rFonts w:ascii="Times New Roman" w:hAnsi="Times New Roman" w:cs="Times New Roman"/>
          <w:sz w:val="26"/>
          <w:szCs w:val="26"/>
          <w:lang w:val="uk-UA"/>
        </w:rPr>
        <w:t>,8 млрд. куб.</w:t>
      </w:r>
      <w:r w:rsidR="00C27AF9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328C2" w:rsidRPr="00C4495B">
        <w:rPr>
          <w:rFonts w:ascii="Times New Roman" w:hAnsi="Times New Roman" w:cs="Times New Roman"/>
          <w:sz w:val="26"/>
          <w:szCs w:val="26"/>
          <w:lang w:val="uk-UA"/>
        </w:rPr>
        <w:t>м.</w:t>
      </w:r>
      <w:r w:rsidR="00DD59D5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Сумарна вартість імпорту газу</w:t>
      </w:r>
      <w:r w:rsidR="00476B13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для України</w:t>
      </w:r>
      <w:r w:rsidR="00DD59D5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навряд чи перевищить $5 млрд. Для порівняння – на піку газових цін </w:t>
      </w:r>
      <w:r w:rsidR="00725366">
        <w:rPr>
          <w:rFonts w:ascii="Times New Roman" w:hAnsi="Times New Roman" w:cs="Times New Roman"/>
          <w:sz w:val="26"/>
          <w:szCs w:val="26"/>
          <w:lang w:val="uk-UA"/>
        </w:rPr>
        <w:t xml:space="preserve">та обсягів </w:t>
      </w:r>
      <w:r w:rsidR="00DD59D5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вартість річного імпорту газу становила </w:t>
      </w:r>
      <w:r w:rsidR="00DD59D5" w:rsidRPr="00C4495B">
        <w:rPr>
          <w:rFonts w:ascii="Times New Roman" w:hAnsi="Times New Roman" w:cs="Times New Roman"/>
          <w:sz w:val="26"/>
          <w:szCs w:val="26"/>
          <w:lang w:val="ru-RU"/>
        </w:rPr>
        <w:t>$14</w:t>
      </w:r>
      <w:r w:rsidR="00C27AF9" w:rsidRPr="00C4495B">
        <w:rPr>
          <w:rFonts w:ascii="Times New Roman" w:hAnsi="Times New Roman" w:cs="Times New Roman"/>
          <w:sz w:val="26"/>
          <w:szCs w:val="26"/>
          <w:lang w:val="ru-RU"/>
        </w:rPr>
        <w:t>,025</w:t>
      </w:r>
      <w:r w:rsidR="00DD59D5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млрд.</w:t>
      </w:r>
      <w:r w:rsidR="00C27AF9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(2012 рік).</w:t>
      </w:r>
    </w:p>
    <w:p w:rsidR="009201AE" w:rsidRPr="00C4495B" w:rsidRDefault="009201AE" w:rsidP="00920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30D39" w:rsidRDefault="00C27AF9" w:rsidP="00920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Обсяги </w:t>
      </w:r>
      <w:proofErr w:type="spellStart"/>
      <w:r w:rsidRPr="00C4495B">
        <w:rPr>
          <w:rFonts w:ascii="Times New Roman" w:hAnsi="Times New Roman" w:cs="Times New Roman"/>
          <w:sz w:val="26"/>
          <w:szCs w:val="26"/>
          <w:lang w:val="uk-UA"/>
        </w:rPr>
        <w:t>закачки</w:t>
      </w:r>
      <w:proofErr w:type="spellEnd"/>
      <w:r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газу в ПСГ, хоча й мають мінімальний рівень, однак, у цілому відповідають по співвідношенню з обсягами внутрішнього споживання та транзиту, середньостатистичному</w:t>
      </w:r>
      <w:r w:rsidR="003B7225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рівню останніх 10 років. </w:t>
      </w:r>
    </w:p>
    <w:p w:rsidR="00725366" w:rsidRDefault="00725366" w:rsidP="00920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721"/>
        <w:gridCol w:w="721"/>
        <w:gridCol w:w="721"/>
        <w:gridCol w:w="722"/>
        <w:gridCol w:w="721"/>
        <w:gridCol w:w="721"/>
        <w:gridCol w:w="721"/>
        <w:gridCol w:w="722"/>
        <w:gridCol w:w="721"/>
        <w:gridCol w:w="721"/>
        <w:gridCol w:w="1011"/>
      </w:tblGrid>
      <w:tr w:rsidR="00230D39" w:rsidRPr="005609CC" w:rsidTr="00A37699">
        <w:tc>
          <w:tcPr>
            <w:tcW w:w="1700" w:type="dxa"/>
            <w:shd w:val="clear" w:color="auto" w:fill="auto"/>
          </w:tcPr>
          <w:p w:rsidR="00230D39" w:rsidRPr="009945FF" w:rsidRDefault="001524FD" w:rsidP="009201A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Рік</w:t>
            </w:r>
            <w:proofErr w:type="spellEnd"/>
          </w:p>
          <w:p w:rsidR="00230D39" w:rsidRPr="009945FF" w:rsidRDefault="001524FD" w:rsidP="009201A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Показник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945FF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2005</w:t>
            </w: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945FF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2006</w:t>
            </w: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945FF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2007</w:t>
            </w:r>
          </w:p>
        </w:tc>
        <w:tc>
          <w:tcPr>
            <w:tcW w:w="722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945FF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2008</w:t>
            </w: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945FF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2009</w:t>
            </w: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945FF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2010</w:t>
            </w: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945FF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2011</w:t>
            </w:r>
          </w:p>
        </w:tc>
        <w:tc>
          <w:tcPr>
            <w:tcW w:w="722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945FF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2012</w:t>
            </w: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945FF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2013</w:t>
            </w: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945FF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2014</w:t>
            </w:r>
          </w:p>
        </w:tc>
        <w:tc>
          <w:tcPr>
            <w:tcW w:w="1011" w:type="dxa"/>
            <w:shd w:val="clear" w:color="auto" w:fill="D0CECE" w:themeFill="background2" w:themeFillShade="E6"/>
          </w:tcPr>
          <w:p w:rsidR="00230D39" w:rsidRPr="009945FF" w:rsidRDefault="001524FD" w:rsidP="009201AE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2015</w:t>
            </w:r>
          </w:p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</w:pPr>
          </w:p>
        </w:tc>
      </w:tr>
      <w:tr w:rsidR="00230D39" w:rsidRPr="001524FD" w:rsidTr="00A37699">
        <w:tc>
          <w:tcPr>
            <w:tcW w:w="1700" w:type="dxa"/>
            <w:shd w:val="clear" w:color="auto" w:fill="auto"/>
          </w:tcPr>
          <w:p w:rsidR="001524FD" w:rsidRPr="001524FD" w:rsidRDefault="001524FD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>Транзит</w:t>
            </w:r>
            <w:r w:rsidR="00230D39" w:rsidRPr="001524F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523C60">
              <w:rPr>
                <w:rFonts w:ascii="Times New Roman" w:hAnsi="Times New Roman"/>
                <w:sz w:val="20"/>
                <w:szCs w:val="20"/>
                <w:lang w:val="ru-RU"/>
              </w:rPr>
              <w:t>до ЄС+</w:t>
            </w:r>
          </w:p>
          <w:p w:rsidR="00230D39" w:rsidRPr="001524FD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="001524FD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</w:t>
            </w: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), </w:t>
            </w:r>
            <w:r w:rsidR="001524FD" w:rsidRPr="001524FD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млрд. </w:t>
            </w:r>
            <w:r w:rsidR="001524FD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м</w:t>
            </w:r>
            <w:r w:rsidR="001524F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³</w:t>
            </w:r>
          </w:p>
        </w:tc>
        <w:tc>
          <w:tcPr>
            <w:tcW w:w="721" w:type="dxa"/>
            <w:shd w:val="clear" w:color="auto" w:fill="auto"/>
          </w:tcPr>
          <w:p w:rsidR="00230D39" w:rsidRPr="001524FD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>121,5</w:t>
            </w:r>
          </w:p>
          <w:p w:rsidR="00230D39" w:rsidRPr="001524FD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21" w:type="dxa"/>
            <w:shd w:val="clear" w:color="auto" w:fill="auto"/>
          </w:tcPr>
          <w:p w:rsidR="00230D39" w:rsidRPr="001524FD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>113,8</w:t>
            </w:r>
          </w:p>
        </w:tc>
        <w:tc>
          <w:tcPr>
            <w:tcW w:w="721" w:type="dxa"/>
            <w:shd w:val="clear" w:color="auto" w:fill="auto"/>
          </w:tcPr>
          <w:p w:rsidR="00230D39" w:rsidRPr="001524FD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>112,1</w:t>
            </w:r>
          </w:p>
        </w:tc>
        <w:tc>
          <w:tcPr>
            <w:tcW w:w="722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945FF">
              <w:rPr>
                <w:rFonts w:ascii="Times New Roman" w:hAnsi="Times New Roman"/>
                <w:sz w:val="20"/>
                <w:szCs w:val="20"/>
                <w:lang w:val="ru-RU"/>
              </w:rPr>
              <w:t>116,9</w:t>
            </w:r>
          </w:p>
        </w:tc>
        <w:tc>
          <w:tcPr>
            <w:tcW w:w="721" w:type="dxa"/>
            <w:shd w:val="clear" w:color="auto" w:fill="auto"/>
          </w:tcPr>
          <w:p w:rsidR="00230D39" w:rsidRPr="001524FD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>92,8</w:t>
            </w:r>
          </w:p>
        </w:tc>
        <w:tc>
          <w:tcPr>
            <w:tcW w:w="721" w:type="dxa"/>
            <w:shd w:val="clear" w:color="auto" w:fill="auto"/>
          </w:tcPr>
          <w:p w:rsidR="00230D39" w:rsidRPr="001524FD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>95,4</w:t>
            </w:r>
          </w:p>
        </w:tc>
        <w:tc>
          <w:tcPr>
            <w:tcW w:w="721" w:type="dxa"/>
            <w:shd w:val="clear" w:color="auto" w:fill="auto"/>
          </w:tcPr>
          <w:p w:rsidR="00230D39" w:rsidRPr="001524FD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>101,1</w:t>
            </w:r>
          </w:p>
        </w:tc>
        <w:tc>
          <w:tcPr>
            <w:tcW w:w="722" w:type="dxa"/>
            <w:shd w:val="clear" w:color="auto" w:fill="auto"/>
          </w:tcPr>
          <w:p w:rsidR="00230D39" w:rsidRPr="001524FD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>81,2</w:t>
            </w:r>
          </w:p>
        </w:tc>
        <w:tc>
          <w:tcPr>
            <w:tcW w:w="721" w:type="dxa"/>
            <w:shd w:val="clear" w:color="auto" w:fill="auto"/>
          </w:tcPr>
          <w:p w:rsidR="00230D39" w:rsidRPr="001524FD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>83,7</w:t>
            </w:r>
          </w:p>
        </w:tc>
        <w:tc>
          <w:tcPr>
            <w:tcW w:w="721" w:type="dxa"/>
            <w:shd w:val="clear" w:color="auto" w:fill="auto"/>
          </w:tcPr>
          <w:p w:rsidR="00230D39" w:rsidRPr="001524FD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>59,4</w:t>
            </w:r>
          </w:p>
        </w:tc>
        <w:tc>
          <w:tcPr>
            <w:tcW w:w="1011" w:type="dxa"/>
            <w:shd w:val="clear" w:color="auto" w:fill="D0CECE" w:themeFill="background2" w:themeFillShade="E6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9945FF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6</w:t>
            </w:r>
            <w:r w:rsidRPr="001524FD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6</w:t>
            </w:r>
            <w:r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,6</w:t>
            </w:r>
          </w:p>
        </w:tc>
      </w:tr>
      <w:tr w:rsidR="00230D39" w:rsidTr="00A37699">
        <w:tc>
          <w:tcPr>
            <w:tcW w:w="1700" w:type="dxa"/>
            <w:shd w:val="clear" w:color="auto" w:fill="auto"/>
          </w:tcPr>
          <w:p w:rsidR="001524FD" w:rsidRPr="001524FD" w:rsidRDefault="001524FD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Споживання</w:t>
            </w:r>
            <w:r w:rsidR="00230D39" w:rsidRPr="001524F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230D39" w:rsidRPr="001524FD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Pr="009945FF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C</w:t>
            </w: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), </w:t>
            </w:r>
            <w:r w:rsidR="001524FD" w:rsidRPr="001524FD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млрд. </w:t>
            </w:r>
            <w:r w:rsidR="001524FD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м</w:t>
            </w:r>
            <w:r w:rsidR="001524F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³</w:t>
            </w:r>
          </w:p>
        </w:tc>
        <w:tc>
          <w:tcPr>
            <w:tcW w:w="721" w:type="dxa"/>
            <w:shd w:val="clear" w:color="auto" w:fill="auto"/>
          </w:tcPr>
          <w:p w:rsidR="00230D39" w:rsidRPr="001524FD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>76,4</w:t>
            </w:r>
          </w:p>
        </w:tc>
        <w:tc>
          <w:tcPr>
            <w:tcW w:w="721" w:type="dxa"/>
            <w:shd w:val="clear" w:color="auto" w:fill="auto"/>
          </w:tcPr>
          <w:p w:rsidR="00230D39" w:rsidRPr="001524FD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>74,0</w:t>
            </w:r>
          </w:p>
        </w:tc>
        <w:tc>
          <w:tcPr>
            <w:tcW w:w="721" w:type="dxa"/>
            <w:shd w:val="clear" w:color="auto" w:fill="auto"/>
          </w:tcPr>
          <w:p w:rsidR="00230D39" w:rsidRPr="001524FD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>69,9</w:t>
            </w:r>
          </w:p>
        </w:tc>
        <w:tc>
          <w:tcPr>
            <w:tcW w:w="722" w:type="dxa"/>
            <w:shd w:val="clear" w:color="auto" w:fill="auto"/>
          </w:tcPr>
          <w:p w:rsidR="00230D39" w:rsidRPr="001524FD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>66,3</w:t>
            </w:r>
          </w:p>
        </w:tc>
        <w:tc>
          <w:tcPr>
            <w:tcW w:w="721" w:type="dxa"/>
            <w:shd w:val="clear" w:color="auto" w:fill="auto"/>
          </w:tcPr>
          <w:p w:rsidR="00230D39" w:rsidRPr="001524FD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>51,9</w:t>
            </w:r>
          </w:p>
        </w:tc>
        <w:tc>
          <w:tcPr>
            <w:tcW w:w="721" w:type="dxa"/>
            <w:shd w:val="clear" w:color="auto" w:fill="auto"/>
          </w:tcPr>
          <w:p w:rsidR="00230D39" w:rsidRPr="001524FD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>57,7</w:t>
            </w:r>
          </w:p>
        </w:tc>
        <w:tc>
          <w:tcPr>
            <w:tcW w:w="721" w:type="dxa"/>
            <w:shd w:val="clear" w:color="auto" w:fill="auto"/>
          </w:tcPr>
          <w:p w:rsidR="00230D39" w:rsidRPr="001524FD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>59,3</w:t>
            </w:r>
          </w:p>
        </w:tc>
        <w:tc>
          <w:tcPr>
            <w:tcW w:w="722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>54,</w:t>
            </w:r>
            <w:r w:rsidRPr="009945FF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sz w:val="20"/>
                <w:szCs w:val="20"/>
                <w:lang w:val="en-GB"/>
              </w:rPr>
              <w:t>50,4</w:t>
            </w: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sz w:val="20"/>
                <w:szCs w:val="20"/>
                <w:lang w:val="en-GB"/>
              </w:rPr>
              <w:t>42,6</w:t>
            </w:r>
          </w:p>
        </w:tc>
        <w:tc>
          <w:tcPr>
            <w:tcW w:w="1011" w:type="dxa"/>
            <w:shd w:val="clear" w:color="auto" w:fill="D0CECE" w:themeFill="background2" w:themeFillShade="E6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3</w:t>
            </w:r>
            <w:r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4</w:t>
            </w:r>
            <w:r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,9</w:t>
            </w:r>
          </w:p>
        </w:tc>
      </w:tr>
      <w:tr w:rsidR="00230D39" w:rsidTr="00A37699">
        <w:tc>
          <w:tcPr>
            <w:tcW w:w="1700" w:type="dxa"/>
            <w:shd w:val="clear" w:color="auto" w:fill="auto"/>
          </w:tcPr>
          <w:p w:rsidR="001524FD" w:rsidRPr="001524FD" w:rsidRDefault="001524FD" w:rsidP="009201AE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Загалом</w:t>
            </w:r>
            <w:r w:rsidR="00230D39" w:rsidRPr="001524F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230D39" w:rsidRPr="001524FD" w:rsidRDefault="00230D39" w:rsidP="009201AE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Pr="009945FF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</w:t>
            </w:r>
            <w:r w:rsidRPr="001524F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+</w:t>
            </w:r>
            <w:r w:rsidRPr="009945FF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C</w:t>
            </w: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), </w:t>
            </w:r>
            <w:r w:rsidR="001524FD" w:rsidRPr="001524FD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млрд. </w:t>
            </w:r>
            <w:r w:rsidR="001524FD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м</w:t>
            </w:r>
            <w:r w:rsidR="001524F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³</w:t>
            </w:r>
            <w:r w:rsidRPr="001524FD">
              <w:rPr>
                <w:rFonts w:ascii="Times New Roman" w:hAnsi="Times New Roman"/>
                <w:sz w:val="20"/>
                <w:szCs w:val="20"/>
                <w:lang w:val="ru-RU"/>
              </w:rPr>
              <w:tab/>
            </w: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sz w:val="20"/>
                <w:szCs w:val="20"/>
                <w:lang w:val="en-GB"/>
              </w:rPr>
              <w:t>197,9</w:t>
            </w: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sz w:val="20"/>
                <w:szCs w:val="20"/>
                <w:lang w:val="en-GB"/>
              </w:rPr>
              <w:t>187,8</w:t>
            </w: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sz w:val="20"/>
                <w:szCs w:val="20"/>
                <w:lang w:val="en-GB"/>
              </w:rPr>
              <w:t>182,0</w:t>
            </w:r>
          </w:p>
        </w:tc>
        <w:tc>
          <w:tcPr>
            <w:tcW w:w="722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sz w:val="20"/>
                <w:szCs w:val="20"/>
                <w:lang w:val="en-GB"/>
              </w:rPr>
              <w:t>183,2</w:t>
            </w: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sz w:val="20"/>
                <w:szCs w:val="20"/>
                <w:lang w:val="en-GB"/>
              </w:rPr>
              <w:t>144,7</w:t>
            </w: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sz w:val="20"/>
                <w:szCs w:val="20"/>
                <w:lang w:val="en-GB"/>
              </w:rPr>
              <w:t>153,1</w:t>
            </w: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sz w:val="20"/>
                <w:szCs w:val="20"/>
                <w:lang w:val="en-GB"/>
              </w:rPr>
              <w:t>160,4</w:t>
            </w:r>
          </w:p>
        </w:tc>
        <w:tc>
          <w:tcPr>
            <w:tcW w:w="722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sz w:val="20"/>
                <w:szCs w:val="20"/>
                <w:lang w:val="en-GB"/>
              </w:rPr>
              <w:t>136,0</w:t>
            </w: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sz w:val="20"/>
                <w:szCs w:val="20"/>
                <w:lang w:val="en-GB"/>
              </w:rPr>
              <w:t>134,1</w:t>
            </w: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sz w:val="20"/>
                <w:szCs w:val="20"/>
                <w:lang w:val="en-GB"/>
              </w:rPr>
              <w:t>102,0</w:t>
            </w:r>
          </w:p>
        </w:tc>
        <w:tc>
          <w:tcPr>
            <w:tcW w:w="1011" w:type="dxa"/>
            <w:shd w:val="clear" w:color="auto" w:fill="D0CECE" w:themeFill="background2" w:themeFillShade="E6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101,5</w:t>
            </w:r>
          </w:p>
        </w:tc>
      </w:tr>
      <w:tr w:rsidR="00230D39" w:rsidTr="00A37699">
        <w:tc>
          <w:tcPr>
            <w:tcW w:w="1700" w:type="dxa"/>
            <w:shd w:val="clear" w:color="auto" w:fill="auto"/>
          </w:tcPr>
          <w:p w:rsidR="00230D39" w:rsidRPr="001524FD" w:rsidRDefault="00523C60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Обсяг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закачки</w:t>
            </w:r>
            <w:proofErr w:type="spellEnd"/>
            <w:r w:rsidR="001524F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</w:t>
            </w:r>
            <w:r w:rsidR="00230D39" w:rsidRPr="001524FD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="001524F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ПСГ</w:t>
            </w:r>
            <w:r w:rsidR="001524FD">
              <w:rPr>
                <w:rFonts w:ascii="Times New Roman" w:hAnsi="Times New Roman"/>
                <w:sz w:val="20"/>
                <w:szCs w:val="20"/>
                <w:lang w:val="ru-RU"/>
              </w:rPr>
              <w:t>),</w:t>
            </w:r>
            <w:r w:rsidR="001524FD" w:rsidRPr="001524FD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млрд. </w:t>
            </w:r>
            <w:r w:rsidR="001524FD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м</w:t>
            </w:r>
            <w:r w:rsidR="001524F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³</w:t>
            </w: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sz w:val="20"/>
                <w:szCs w:val="20"/>
                <w:lang w:val="en-GB"/>
              </w:rPr>
              <w:t>15,3</w:t>
            </w:r>
          </w:p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sz w:val="20"/>
                <w:szCs w:val="20"/>
                <w:lang w:val="en-GB"/>
              </w:rPr>
              <w:t>18,1</w:t>
            </w: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sz w:val="20"/>
                <w:szCs w:val="20"/>
                <w:lang w:val="en-GB"/>
              </w:rPr>
              <w:t>18,0</w:t>
            </w:r>
          </w:p>
        </w:tc>
        <w:tc>
          <w:tcPr>
            <w:tcW w:w="722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sz w:val="20"/>
                <w:szCs w:val="20"/>
                <w:lang w:val="en-GB"/>
              </w:rPr>
              <w:t>15,9</w:t>
            </w: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sz w:val="20"/>
                <w:szCs w:val="20"/>
                <w:lang w:val="en-GB"/>
              </w:rPr>
              <w:t>11,0</w:t>
            </w: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sz w:val="20"/>
                <w:szCs w:val="20"/>
                <w:lang w:val="en-GB"/>
              </w:rPr>
              <w:t>13,4</w:t>
            </w: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sz w:val="20"/>
                <w:szCs w:val="20"/>
                <w:lang w:val="en-GB"/>
              </w:rPr>
              <w:t>10,9</w:t>
            </w:r>
          </w:p>
        </w:tc>
        <w:tc>
          <w:tcPr>
            <w:tcW w:w="722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sz w:val="20"/>
                <w:szCs w:val="20"/>
                <w:lang w:val="en-GB"/>
              </w:rPr>
              <w:t>13,7</w:t>
            </w: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sz w:val="20"/>
                <w:szCs w:val="20"/>
                <w:lang w:val="en-GB"/>
              </w:rPr>
              <w:t>11,6</w:t>
            </w:r>
          </w:p>
        </w:tc>
        <w:tc>
          <w:tcPr>
            <w:tcW w:w="721" w:type="dxa"/>
            <w:shd w:val="clear" w:color="auto" w:fill="auto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sz w:val="20"/>
                <w:szCs w:val="20"/>
                <w:lang w:val="en-GB"/>
              </w:rPr>
              <w:t>9,8</w:t>
            </w:r>
          </w:p>
        </w:tc>
        <w:tc>
          <w:tcPr>
            <w:tcW w:w="1011" w:type="dxa"/>
            <w:shd w:val="clear" w:color="auto" w:fill="D0CECE" w:themeFill="background2" w:themeFillShade="E6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9945FF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9,6</w:t>
            </w:r>
          </w:p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230D39" w:rsidTr="00A37699">
        <w:tc>
          <w:tcPr>
            <w:tcW w:w="1700" w:type="dxa"/>
            <w:shd w:val="clear" w:color="auto" w:fill="auto"/>
          </w:tcPr>
          <w:p w:rsidR="00230D39" w:rsidRDefault="00523C60" w:rsidP="009201A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523C60">
              <w:rPr>
                <w:rFonts w:ascii="Times New Roman" w:hAnsi="Times New Roman"/>
                <w:sz w:val="20"/>
                <w:szCs w:val="20"/>
                <w:lang w:val="uk-UA"/>
              </w:rPr>
              <w:t>Співвідношення</w:t>
            </w: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ПСГ</w:t>
            </w: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/ </w:t>
            </w:r>
            <w:r w:rsidR="00230D39" w:rsidRPr="009945FF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(T</w:t>
            </w:r>
            <w:r w:rsidR="001524FD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+C</w:t>
            </w:r>
            <w:r w:rsidR="00230D39" w:rsidRPr="009945FF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)</w:t>
            </w:r>
            <w:r w:rsidR="001524F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, </w:t>
            </w:r>
            <w:r w:rsidR="00230D39" w:rsidRPr="009945FF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%</w:t>
            </w:r>
          </w:p>
          <w:p w:rsidR="00453C5C" w:rsidRPr="009945FF" w:rsidRDefault="00453C5C" w:rsidP="009201A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721" w:type="dxa"/>
            <w:shd w:val="clear" w:color="auto" w:fill="E7E6E6" w:themeFill="background2"/>
          </w:tcPr>
          <w:p w:rsidR="00230D39" w:rsidRPr="00523C60" w:rsidRDefault="00230D39" w:rsidP="009201A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uk-UA"/>
              </w:rPr>
            </w:pPr>
            <w:r w:rsidRPr="009945FF">
              <w:rPr>
                <w:rFonts w:ascii="Times New Roman" w:hAnsi="Times New Roman"/>
                <w:b/>
                <w:color w:val="FF0000"/>
                <w:sz w:val="20"/>
                <w:szCs w:val="20"/>
                <w:lang w:val="en-GB"/>
              </w:rPr>
              <w:t>7,73</w:t>
            </w:r>
          </w:p>
        </w:tc>
        <w:tc>
          <w:tcPr>
            <w:tcW w:w="721" w:type="dxa"/>
            <w:shd w:val="clear" w:color="auto" w:fill="E7E6E6" w:themeFill="background2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b/>
                <w:color w:val="FF0000"/>
                <w:sz w:val="20"/>
                <w:szCs w:val="20"/>
                <w:lang w:val="en-GB"/>
              </w:rPr>
              <w:t>9,64</w:t>
            </w:r>
          </w:p>
        </w:tc>
        <w:tc>
          <w:tcPr>
            <w:tcW w:w="721" w:type="dxa"/>
            <w:shd w:val="clear" w:color="auto" w:fill="E7E6E6" w:themeFill="background2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b/>
                <w:color w:val="FF0000"/>
                <w:sz w:val="20"/>
                <w:szCs w:val="20"/>
                <w:lang w:val="en-GB"/>
              </w:rPr>
              <w:t>9,90</w:t>
            </w:r>
          </w:p>
        </w:tc>
        <w:tc>
          <w:tcPr>
            <w:tcW w:w="722" w:type="dxa"/>
            <w:shd w:val="clear" w:color="auto" w:fill="E7E6E6" w:themeFill="background2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b/>
                <w:color w:val="FF0000"/>
                <w:sz w:val="20"/>
                <w:szCs w:val="20"/>
                <w:lang w:val="en-GB"/>
              </w:rPr>
              <w:t>8,68</w:t>
            </w:r>
          </w:p>
        </w:tc>
        <w:tc>
          <w:tcPr>
            <w:tcW w:w="721" w:type="dxa"/>
            <w:shd w:val="clear" w:color="auto" w:fill="E7E6E6" w:themeFill="background2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b/>
                <w:color w:val="FF0000"/>
                <w:sz w:val="20"/>
                <w:szCs w:val="20"/>
                <w:lang w:val="en-GB"/>
              </w:rPr>
              <w:t>7,60</w:t>
            </w:r>
          </w:p>
        </w:tc>
        <w:tc>
          <w:tcPr>
            <w:tcW w:w="721" w:type="dxa"/>
            <w:shd w:val="clear" w:color="auto" w:fill="E7E6E6" w:themeFill="background2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b/>
                <w:color w:val="FF0000"/>
                <w:sz w:val="20"/>
                <w:szCs w:val="20"/>
                <w:lang w:val="en-GB"/>
              </w:rPr>
              <w:t>8,75</w:t>
            </w:r>
          </w:p>
        </w:tc>
        <w:tc>
          <w:tcPr>
            <w:tcW w:w="721" w:type="dxa"/>
            <w:shd w:val="clear" w:color="auto" w:fill="E7E6E6" w:themeFill="background2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b/>
                <w:color w:val="FF0000"/>
                <w:sz w:val="20"/>
                <w:szCs w:val="20"/>
                <w:lang w:val="en-GB"/>
              </w:rPr>
              <w:t>6,80</w:t>
            </w:r>
          </w:p>
        </w:tc>
        <w:tc>
          <w:tcPr>
            <w:tcW w:w="722" w:type="dxa"/>
            <w:shd w:val="clear" w:color="auto" w:fill="E7E6E6" w:themeFill="background2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b/>
                <w:color w:val="FF0000"/>
                <w:sz w:val="20"/>
                <w:szCs w:val="20"/>
                <w:lang w:val="en-GB"/>
              </w:rPr>
              <w:t>10,1</w:t>
            </w:r>
          </w:p>
        </w:tc>
        <w:tc>
          <w:tcPr>
            <w:tcW w:w="721" w:type="dxa"/>
            <w:shd w:val="clear" w:color="auto" w:fill="E7E6E6" w:themeFill="background2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b/>
                <w:color w:val="FF0000"/>
                <w:sz w:val="20"/>
                <w:szCs w:val="20"/>
                <w:lang w:val="en-GB"/>
              </w:rPr>
              <w:t>8,65</w:t>
            </w:r>
          </w:p>
        </w:tc>
        <w:tc>
          <w:tcPr>
            <w:tcW w:w="721" w:type="dxa"/>
            <w:shd w:val="clear" w:color="auto" w:fill="E7E6E6" w:themeFill="background2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en-GB"/>
              </w:rPr>
            </w:pPr>
            <w:r w:rsidRPr="009945FF">
              <w:rPr>
                <w:rFonts w:ascii="Times New Roman" w:hAnsi="Times New Roman"/>
                <w:b/>
                <w:color w:val="FF0000"/>
                <w:sz w:val="20"/>
                <w:szCs w:val="20"/>
                <w:lang w:val="en-GB"/>
              </w:rPr>
              <w:t>9,60</w:t>
            </w:r>
          </w:p>
        </w:tc>
        <w:tc>
          <w:tcPr>
            <w:tcW w:w="1011" w:type="dxa"/>
            <w:shd w:val="clear" w:color="auto" w:fill="D0CECE" w:themeFill="background2" w:themeFillShade="E6"/>
          </w:tcPr>
          <w:p w:rsidR="00230D39" w:rsidRPr="009945FF" w:rsidRDefault="00230D39" w:rsidP="009201AE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  <w:lang w:val="uk-UA"/>
              </w:rPr>
            </w:pPr>
            <w:r w:rsidRPr="009945FF">
              <w:rPr>
                <w:rFonts w:ascii="Times New Roman" w:hAnsi="Times New Roman"/>
                <w:b/>
                <w:i/>
                <w:color w:val="FF0000"/>
                <w:sz w:val="20"/>
                <w:szCs w:val="20"/>
                <w:lang w:val="en-GB"/>
              </w:rPr>
              <w:t>9,46</w:t>
            </w:r>
          </w:p>
        </w:tc>
      </w:tr>
    </w:tbl>
    <w:p w:rsidR="00230D39" w:rsidRPr="007D5489" w:rsidRDefault="00523C60" w:rsidP="009201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37699">
        <w:rPr>
          <w:rFonts w:ascii="Times New Roman" w:hAnsi="Times New Roman" w:cs="Times New Roman"/>
          <w:b/>
          <w:sz w:val="20"/>
          <w:szCs w:val="20"/>
          <w:lang w:val="uk-UA"/>
        </w:rPr>
        <w:t>Примітки.</w:t>
      </w:r>
      <w:r w:rsidRPr="007D5489">
        <w:rPr>
          <w:rFonts w:ascii="Times New Roman" w:hAnsi="Times New Roman" w:cs="Times New Roman"/>
          <w:sz w:val="20"/>
          <w:szCs w:val="20"/>
          <w:lang w:val="uk-UA"/>
        </w:rPr>
        <w:t xml:space="preserve"> Транзит до ЄС+ включає також Туреччину та балканські країни, що не є членами ЄС, але не включає транзит до Молдови. </w:t>
      </w:r>
      <w:r w:rsidR="007D5489" w:rsidRPr="007D5489">
        <w:rPr>
          <w:rFonts w:ascii="Times New Roman" w:hAnsi="Times New Roman" w:cs="Times New Roman"/>
          <w:sz w:val="20"/>
          <w:szCs w:val="20"/>
          <w:lang w:val="uk-UA"/>
        </w:rPr>
        <w:t xml:space="preserve">Обсяг </w:t>
      </w:r>
      <w:proofErr w:type="spellStart"/>
      <w:r w:rsidR="007D5489" w:rsidRPr="007D5489">
        <w:rPr>
          <w:rFonts w:ascii="Times New Roman" w:hAnsi="Times New Roman" w:cs="Times New Roman"/>
          <w:sz w:val="20"/>
          <w:szCs w:val="20"/>
          <w:lang w:val="uk-UA"/>
        </w:rPr>
        <w:t>закачки</w:t>
      </w:r>
      <w:proofErr w:type="spellEnd"/>
      <w:r w:rsidR="007D5489" w:rsidRPr="007D5489">
        <w:rPr>
          <w:rFonts w:ascii="Times New Roman" w:hAnsi="Times New Roman" w:cs="Times New Roman"/>
          <w:sz w:val="20"/>
          <w:szCs w:val="20"/>
          <w:lang w:val="uk-UA"/>
        </w:rPr>
        <w:t xml:space="preserve"> – виключно об</w:t>
      </w:r>
      <w:r w:rsidR="007D5489" w:rsidRPr="007D5489">
        <w:rPr>
          <w:rFonts w:ascii="Times New Roman" w:hAnsi="Times New Roman" w:cs="Times New Roman"/>
          <w:sz w:val="20"/>
          <w:szCs w:val="20"/>
          <w:lang w:val="ru-RU"/>
        </w:rPr>
        <w:t>’</w:t>
      </w:r>
      <w:proofErr w:type="spellStart"/>
      <w:r w:rsidR="007D5489" w:rsidRPr="007D5489">
        <w:rPr>
          <w:rFonts w:ascii="Times New Roman" w:hAnsi="Times New Roman" w:cs="Times New Roman"/>
          <w:sz w:val="20"/>
          <w:szCs w:val="20"/>
          <w:lang w:val="uk-UA"/>
        </w:rPr>
        <w:t>єми</w:t>
      </w:r>
      <w:proofErr w:type="spellEnd"/>
      <w:r w:rsidR="007D5489" w:rsidRPr="007D5489">
        <w:rPr>
          <w:rFonts w:ascii="Times New Roman" w:hAnsi="Times New Roman" w:cs="Times New Roman"/>
          <w:sz w:val="20"/>
          <w:szCs w:val="20"/>
          <w:lang w:val="uk-UA"/>
        </w:rPr>
        <w:t xml:space="preserve">, що були </w:t>
      </w:r>
      <w:r w:rsidR="007D5489">
        <w:rPr>
          <w:rFonts w:ascii="Times New Roman" w:hAnsi="Times New Roman" w:cs="Times New Roman"/>
          <w:sz w:val="20"/>
          <w:szCs w:val="20"/>
          <w:lang w:val="uk-UA"/>
        </w:rPr>
        <w:t xml:space="preserve">фізично </w:t>
      </w:r>
      <w:r w:rsidR="007D5489" w:rsidRPr="007D5489">
        <w:rPr>
          <w:rFonts w:ascii="Times New Roman" w:hAnsi="Times New Roman" w:cs="Times New Roman"/>
          <w:sz w:val="20"/>
          <w:szCs w:val="20"/>
          <w:lang w:val="uk-UA"/>
        </w:rPr>
        <w:t>закачані у ПСГ протягом сезону закачування</w:t>
      </w:r>
      <w:r w:rsidR="007D5489">
        <w:rPr>
          <w:rFonts w:ascii="Times New Roman" w:hAnsi="Times New Roman" w:cs="Times New Roman"/>
          <w:sz w:val="20"/>
          <w:szCs w:val="20"/>
          <w:lang w:val="uk-UA"/>
        </w:rPr>
        <w:t xml:space="preserve">. Прогноз по 2015 року зроблений на основі даних за 11 місяців. </w:t>
      </w:r>
    </w:p>
    <w:p w:rsidR="009201AE" w:rsidRDefault="009201AE" w:rsidP="00920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5366" w:rsidRDefault="00725366" w:rsidP="00920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Як видно з наведених у Табл. 1. </w:t>
      </w:r>
      <w:r w:rsidR="00037FEF">
        <w:rPr>
          <w:rFonts w:ascii="Times New Roman" w:hAnsi="Times New Roman" w:cs="Times New Roman"/>
          <w:sz w:val="26"/>
          <w:szCs w:val="26"/>
          <w:lang w:val="uk-UA"/>
        </w:rPr>
        <w:t>д</w:t>
      </w:r>
      <w:r>
        <w:rPr>
          <w:rFonts w:ascii="Times New Roman" w:hAnsi="Times New Roman" w:cs="Times New Roman"/>
          <w:sz w:val="26"/>
          <w:szCs w:val="26"/>
          <w:lang w:val="uk-UA"/>
        </w:rPr>
        <w:t>аних, с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>ередньозважений показник перебуває в коридорі 6,8%–10,1% становить 8,75%, в той час як цьогорічний показник є навіть дещо вищим – 9,46%.</w:t>
      </w:r>
    </w:p>
    <w:p w:rsidR="00725366" w:rsidRDefault="00725366" w:rsidP="00920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0D39" w:rsidRPr="00C4495B" w:rsidRDefault="00230D39" w:rsidP="00920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Не дивлячись на риторику </w:t>
      </w:r>
      <w:r w:rsidR="00725366">
        <w:rPr>
          <w:rFonts w:ascii="Times New Roman" w:hAnsi="Times New Roman" w:cs="Times New Roman"/>
          <w:sz w:val="26"/>
          <w:szCs w:val="26"/>
          <w:lang w:val="uk-UA"/>
        </w:rPr>
        <w:t>«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>Газпрому</w:t>
      </w:r>
      <w:r w:rsidR="00725366">
        <w:rPr>
          <w:rFonts w:ascii="Times New Roman" w:hAnsi="Times New Roman" w:cs="Times New Roman"/>
          <w:sz w:val="26"/>
          <w:szCs w:val="26"/>
          <w:lang w:val="uk-UA"/>
        </w:rPr>
        <w:t>»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про скорочення значущості ГТС України для транзиту російського газу, 2015 рік позначений трендом деякого збільшення транзитного трафіку через Україну. Його обсяг може становити за підсумками року</w:t>
      </w:r>
      <w:r w:rsidR="00453C5C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у напрямку ЄС –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66,6 млрд. куб.</w:t>
      </w:r>
      <w:r w:rsidR="009201AE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м., що більше аніж у 2014 році – </w:t>
      </w:r>
      <w:r w:rsidR="00453C5C" w:rsidRPr="00C4495B">
        <w:rPr>
          <w:rFonts w:ascii="Times New Roman" w:hAnsi="Times New Roman" w:cs="Times New Roman"/>
          <w:sz w:val="26"/>
          <w:szCs w:val="26"/>
          <w:lang w:val="uk-UA"/>
        </w:rPr>
        <w:t>59,4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млрд. куб. м.</w:t>
      </w:r>
      <w:r w:rsidR="00453C5C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Якщо ж взяти з урахуванням обсягів на Молдову, то транзит становитиме 69,3 млрд. куб. м.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Це ті обсяги, які дозволяють </w:t>
      </w:r>
      <w:r w:rsidR="00037FEF">
        <w:rPr>
          <w:rFonts w:ascii="Times New Roman" w:hAnsi="Times New Roman" w:cs="Times New Roman"/>
          <w:sz w:val="26"/>
          <w:szCs w:val="26"/>
          <w:lang w:val="uk-UA"/>
        </w:rPr>
        <w:t>«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>Ук</w:t>
      </w:r>
      <w:r w:rsidR="00453C5C" w:rsidRPr="00C4495B">
        <w:rPr>
          <w:rFonts w:ascii="Times New Roman" w:hAnsi="Times New Roman" w:cs="Times New Roman"/>
          <w:sz w:val="26"/>
          <w:szCs w:val="26"/>
          <w:lang w:val="uk-UA"/>
        </w:rPr>
        <w:t>ртрансгазу</w:t>
      </w:r>
      <w:r w:rsidR="00037FEF">
        <w:rPr>
          <w:rFonts w:ascii="Times New Roman" w:hAnsi="Times New Roman" w:cs="Times New Roman"/>
          <w:sz w:val="26"/>
          <w:szCs w:val="26"/>
          <w:lang w:val="uk-UA"/>
        </w:rPr>
        <w:t>»</w:t>
      </w:r>
      <w:r w:rsidR="00453C5C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працювати дещо вище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межі нульової рентабельності.</w:t>
      </w:r>
    </w:p>
    <w:p w:rsidR="009201AE" w:rsidRDefault="009201AE" w:rsidP="00920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07C5C" w:rsidRDefault="00B07C5C" w:rsidP="00920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Найбільшим успіхом Нафтогазу стало доволі ефективне використання реверсних можливостей постачань газу в Україну з ЄС. У 2015 році Словаччина та Україна стали стратегічними партнерами як по реверсу, так і з протидії реалізації проекту «Північний потік-2». Практично 95% реверсних постачань надійшло в Україну через ГТС Словацької Республіки за допомогою компанії </w:t>
      </w:r>
      <w:proofErr w:type="spellStart"/>
      <w:r>
        <w:rPr>
          <w:rFonts w:ascii="Times New Roman" w:hAnsi="Times New Roman" w:cs="Times New Roman"/>
          <w:sz w:val="26"/>
          <w:szCs w:val="26"/>
        </w:rPr>
        <w:t>Eustream</w:t>
      </w:r>
      <w:proofErr w:type="spellEnd"/>
      <w:r w:rsidRPr="00B07C5C">
        <w:rPr>
          <w:rFonts w:ascii="Times New Roman" w:hAnsi="Times New Roman" w:cs="Times New Roman"/>
          <w:sz w:val="26"/>
          <w:szCs w:val="26"/>
          <w:lang w:val="ru-RU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B07C5C" w:rsidRPr="00C4495B" w:rsidRDefault="00B07C5C" w:rsidP="00920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30D39" w:rsidRPr="00C4495B" w:rsidRDefault="00230D39" w:rsidP="00920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4495B">
        <w:rPr>
          <w:rFonts w:ascii="Times New Roman" w:hAnsi="Times New Roman" w:cs="Times New Roman"/>
          <w:sz w:val="26"/>
          <w:szCs w:val="26"/>
          <w:lang w:val="uk-UA"/>
        </w:rPr>
        <w:t>Негативним трендом є скорочення видобутку власного газу. Обсяг газовидобутку складе приблизно 19,9 млрд. куб.</w:t>
      </w:r>
      <w:r w:rsidR="000D12F1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м, минулого року </w:t>
      </w:r>
      <w:r w:rsidR="000D12F1" w:rsidRPr="00C4495B">
        <w:rPr>
          <w:rFonts w:ascii="Times New Roman" w:hAnsi="Times New Roman" w:cs="Times New Roman"/>
          <w:sz w:val="26"/>
          <w:szCs w:val="26"/>
          <w:lang w:val="uk-UA"/>
        </w:rPr>
        <w:t>він становив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20,5 млрд. куб.</w:t>
      </w:r>
      <w:r w:rsidR="000D12F1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>м. Як і передбачалось, високий р</w:t>
      </w:r>
      <w:r w:rsidR="000D12F1" w:rsidRPr="00C4495B">
        <w:rPr>
          <w:rFonts w:ascii="Times New Roman" w:hAnsi="Times New Roman" w:cs="Times New Roman"/>
          <w:sz w:val="26"/>
          <w:szCs w:val="26"/>
          <w:lang w:val="uk-UA"/>
        </w:rPr>
        <w:t>івень рентної плати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пригнічує галузь. </w:t>
      </w:r>
      <w:r w:rsidR="000D12F1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Найбільш стрімко падає видобуток «Укрнафти». Також скорочення зазнає видобуток «Укргазвидобування». Приріст спостерігається тільки в секторі приватного газовидобутку. </w:t>
      </w:r>
    </w:p>
    <w:p w:rsidR="000D12F1" w:rsidRPr="00C4495B" w:rsidRDefault="000D12F1" w:rsidP="00920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D12F1" w:rsidRPr="00C4495B" w:rsidRDefault="000D12F1" w:rsidP="009201A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4495B">
        <w:rPr>
          <w:rFonts w:ascii="Times New Roman" w:hAnsi="Times New Roman" w:cs="Times New Roman"/>
          <w:b/>
          <w:sz w:val="26"/>
          <w:szCs w:val="26"/>
          <w:lang w:val="uk-UA"/>
        </w:rPr>
        <w:t>Прогноз-2016</w:t>
      </w:r>
    </w:p>
    <w:p w:rsidR="009201AE" w:rsidRPr="00C4495B" w:rsidRDefault="000D12F1" w:rsidP="00920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4495B">
        <w:rPr>
          <w:rFonts w:ascii="Times New Roman" w:hAnsi="Times New Roman" w:cs="Times New Roman"/>
          <w:sz w:val="26"/>
          <w:szCs w:val="26"/>
          <w:lang w:val="uk-UA"/>
        </w:rPr>
        <w:t>Якщо не будуть змінені ставки рентної плати обсяг видобутку у 2016 році навряд чи перевищить 19 млрд. куб. м</w:t>
      </w:r>
      <w:r w:rsidR="009201AE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і продовжить знижуватись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. Обсяг імпорту газу може зазнати ще деякого скорочення – до 15 млрд. куб. м. Загальний обсяг споживання </w:t>
      </w:r>
      <w:r w:rsidRPr="00725366">
        <w:rPr>
          <w:rFonts w:ascii="Times New Roman" w:hAnsi="Times New Roman" w:cs="Times New Roman"/>
          <w:b/>
          <w:sz w:val="26"/>
          <w:szCs w:val="26"/>
          <w:lang w:val="uk-UA"/>
        </w:rPr>
        <w:t>у випадку пожвавлення економіки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залишиться</w:t>
      </w:r>
      <w:r w:rsidR="009201AE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приблизно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на рівні 2015 року –</w:t>
      </w:r>
      <w:r w:rsidR="009201AE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орієнтовно</w:t>
      </w:r>
      <w:r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34 млрд. куб. м. </w:t>
      </w:r>
      <w:r w:rsidR="009201AE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Динаміка руху нафтових цін протягом 2015 року вказує на те, що ціни на газ будуть </w:t>
      </w:r>
      <w:r w:rsidR="00716654">
        <w:rPr>
          <w:rFonts w:ascii="Times New Roman" w:hAnsi="Times New Roman" w:cs="Times New Roman"/>
          <w:sz w:val="26"/>
          <w:szCs w:val="26"/>
          <w:lang w:val="uk-UA"/>
        </w:rPr>
        <w:t xml:space="preserve">також </w:t>
      </w:r>
      <w:r w:rsidR="009201AE" w:rsidRPr="00C4495B">
        <w:rPr>
          <w:rFonts w:ascii="Times New Roman" w:hAnsi="Times New Roman" w:cs="Times New Roman"/>
          <w:sz w:val="26"/>
          <w:szCs w:val="26"/>
          <w:lang w:val="uk-UA"/>
        </w:rPr>
        <w:t>знижуватися протягом трьох кварталів 2016 року. Таким чином, витрати на імпорт газу можуть зазнати ще деякого скорочення</w:t>
      </w:r>
      <w:r w:rsidR="00CE3395">
        <w:rPr>
          <w:rFonts w:ascii="Times New Roman" w:hAnsi="Times New Roman" w:cs="Times New Roman"/>
          <w:sz w:val="26"/>
          <w:szCs w:val="26"/>
          <w:lang w:val="uk-UA"/>
        </w:rPr>
        <w:t xml:space="preserve">, ймовірно, до рівня </w:t>
      </w:r>
      <w:r w:rsidR="00725366" w:rsidRPr="00725366">
        <w:rPr>
          <w:rFonts w:ascii="Times New Roman" w:hAnsi="Times New Roman" w:cs="Times New Roman"/>
          <w:sz w:val="26"/>
          <w:szCs w:val="26"/>
          <w:lang w:val="ru-RU"/>
        </w:rPr>
        <w:t>$</w:t>
      </w:r>
      <w:r w:rsidR="00CE3395">
        <w:rPr>
          <w:rFonts w:ascii="Times New Roman" w:hAnsi="Times New Roman" w:cs="Times New Roman"/>
          <w:sz w:val="26"/>
          <w:szCs w:val="26"/>
          <w:lang w:val="uk-UA"/>
        </w:rPr>
        <w:t>4,2 млрд</w:t>
      </w:r>
      <w:r w:rsidR="009201AE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</w:p>
    <w:p w:rsidR="009201AE" w:rsidRPr="00C4495B" w:rsidRDefault="009201AE" w:rsidP="00920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201AE" w:rsidRPr="00C4495B" w:rsidRDefault="00A76C86" w:rsidP="009201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Окремі</w:t>
      </w:r>
      <w:r w:rsidR="008A38A3">
        <w:rPr>
          <w:rFonts w:ascii="Times New Roman" w:hAnsi="Times New Roman" w:cs="Times New Roman"/>
          <w:sz w:val="26"/>
          <w:szCs w:val="26"/>
          <w:lang w:val="uk-UA"/>
        </w:rPr>
        <w:t xml:space="preserve"> в</w:t>
      </w:r>
      <w:r w:rsidR="009201AE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иклики-2016 </w:t>
      </w:r>
    </w:p>
    <w:p w:rsidR="00D33B6E" w:rsidRPr="00C4495B" w:rsidRDefault="008A38A3" w:rsidP="006055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Викликом №1</w:t>
      </w:r>
      <w:r w:rsidR="00D33B6E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може стати спроба РФ ввести повну енергетичну блокаду України на температурному екстремумі у січні чи лютому 2016 року</w:t>
      </w:r>
      <w:r w:rsidR="00500434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та спричинити </w:t>
      </w:r>
      <w:proofErr w:type="spellStart"/>
      <w:r w:rsidR="00500434" w:rsidRPr="00C4495B">
        <w:rPr>
          <w:rFonts w:ascii="Times New Roman" w:hAnsi="Times New Roman" w:cs="Times New Roman"/>
          <w:sz w:val="26"/>
          <w:szCs w:val="26"/>
          <w:lang w:val="uk-UA"/>
        </w:rPr>
        <w:t>блекаут</w:t>
      </w:r>
      <w:proofErr w:type="spellEnd"/>
      <w:r w:rsidR="00500434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ОЕС України</w:t>
      </w:r>
      <w:r w:rsidR="00D33B6E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. РФ та група </w:t>
      </w:r>
      <w:proofErr w:type="spellStart"/>
      <w:r w:rsidR="00D33B6E" w:rsidRPr="00C4495B">
        <w:rPr>
          <w:rFonts w:ascii="Times New Roman" w:hAnsi="Times New Roman" w:cs="Times New Roman"/>
          <w:sz w:val="26"/>
          <w:szCs w:val="26"/>
          <w:lang w:val="uk-UA"/>
        </w:rPr>
        <w:t>західно</w:t>
      </w:r>
      <w:proofErr w:type="spellEnd"/>
      <w:r w:rsidR="00D33B6E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-європейських компаній-партнерів «Газпрому» по проекту «Північний потік – 2» </w:t>
      </w:r>
      <w:r>
        <w:rPr>
          <w:rFonts w:ascii="Times New Roman" w:hAnsi="Times New Roman" w:cs="Times New Roman"/>
          <w:sz w:val="26"/>
          <w:szCs w:val="26"/>
          <w:lang w:val="uk-UA"/>
        </w:rPr>
        <w:t>зацікавлені у виникненні</w:t>
      </w:r>
      <w:r w:rsidR="00D33B6E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енергетичної кризи в Україні з метою довести Єврокомісії необхідність підтримки даного проекту, оскільки, за логікою Кремля – «Україна є ненадійною, нестабільною та непередбачуваною країною».</w:t>
      </w:r>
    </w:p>
    <w:p w:rsidR="00856670" w:rsidRPr="00C4495B" w:rsidRDefault="008A38A3" w:rsidP="006055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Виклик №2</w:t>
      </w:r>
      <w:r w:rsidR="00856670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– неспроможність </w:t>
      </w:r>
      <w:r>
        <w:rPr>
          <w:rFonts w:ascii="Times New Roman" w:hAnsi="Times New Roman" w:cs="Times New Roman"/>
          <w:sz w:val="26"/>
          <w:szCs w:val="26"/>
          <w:lang w:val="uk-UA"/>
        </w:rPr>
        <w:t>ур</w:t>
      </w:r>
      <w:r w:rsidR="00856670" w:rsidRPr="00C4495B">
        <w:rPr>
          <w:rFonts w:ascii="Times New Roman" w:hAnsi="Times New Roman" w:cs="Times New Roman"/>
          <w:sz w:val="26"/>
          <w:szCs w:val="26"/>
          <w:lang w:val="uk-UA"/>
        </w:rPr>
        <w:t>яду та законодавців змінити ставки рентної плати за видобуток газу, що призведе до подальшого падіння його видобутку.</w:t>
      </w:r>
    </w:p>
    <w:p w:rsidR="00154D19" w:rsidRDefault="00154D19" w:rsidP="00154D1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Виклик №3 – намагання з боку олігархічних угруповань приватизувати «Укргазвидобування».</w:t>
      </w:r>
    </w:p>
    <w:p w:rsidR="00062CB3" w:rsidRPr="00C4495B" w:rsidRDefault="00154D19" w:rsidP="006055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Виклик №4</w:t>
      </w:r>
      <w:r w:rsidR="00856670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– намагання «розпатрати» </w:t>
      </w:r>
      <w:r w:rsidR="00A37699">
        <w:rPr>
          <w:rFonts w:ascii="Times New Roman" w:hAnsi="Times New Roman" w:cs="Times New Roman"/>
          <w:sz w:val="26"/>
          <w:szCs w:val="26"/>
          <w:lang w:val="uk-UA"/>
        </w:rPr>
        <w:t xml:space="preserve">оператора ГТС </w:t>
      </w:r>
      <w:r w:rsidR="00856670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«Укртрансгаз», виділивши його зі складу НАК «Нафтогаз України» та розділивши на компанії з транспортування газу та підземного зберігання. </w:t>
      </w:r>
      <w:r w:rsidR="00062CB3" w:rsidRPr="00725366">
        <w:rPr>
          <w:rFonts w:ascii="Times New Roman" w:hAnsi="Times New Roman" w:cs="Times New Roman"/>
          <w:b/>
          <w:sz w:val="26"/>
          <w:szCs w:val="26"/>
          <w:lang w:val="uk-UA"/>
        </w:rPr>
        <w:t xml:space="preserve">Інтегральність організаційної та </w:t>
      </w:r>
      <w:r w:rsidR="00062CB3" w:rsidRPr="00725366"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>технологічної цілісності систем магістральних газопроводів та підземних газосховищ має бути збережена</w:t>
      </w:r>
      <w:r w:rsidR="00A37699" w:rsidRPr="0072536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– як мінімум –</w:t>
      </w:r>
      <w:r w:rsidR="00062CB3" w:rsidRPr="0072536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на період до закінчення війни з РФ.</w:t>
      </w:r>
    </w:p>
    <w:p w:rsidR="00F1380F" w:rsidRDefault="00154D19" w:rsidP="006055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Виклик №5</w:t>
      </w:r>
      <w:r w:rsidR="00500434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– нездатність Єврокомісії</w:t>
      </w:r>
      <w:r w:rsidR="008A38A3">
        <w:rPr>
          <w:rFonts w:ascii="Times New Roman" w:hAnsi="Times New Roman" w:cs="Times New Roman"/>
          <w:sz w:val="26"/>
          <w:szCs w:val="26"/>
          <w:lang w:val="uk-UA"/>
        </w:rPr>
        <w:t xml:space="preserve"> та групи центрально-європейських країн-членів ЄС</w:t>
      </w:r>
      <w:r w:rsidR="00500434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протистояти реалізації </w:t>
      </w:r>
      <w:proofErr w:type="spellStart"/>
      <w:r w:rsidR="008A38A3">
        <w:rPr>
          <w:rFonts w:ascii="Times New Roman" w:hAnsi="Times New Roman" w:cs="Times New Roman"/>
          <w:sz w:val="26"/>
          <w:szCs w:val="26"/>
          <w:lang w:val="uk-UA"/>
        </w:rPr>
        <w:t>антиєвропейського</w:t>
      </w:r>
      <w:proofErr w:type="spellEnd"/>
      <w:r w:rsidR="008A38A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500434" w:rsidRPr="00C4495B">
        <w:rPr>
          <w:rFonts w:ascii="Times New Roman" w:hAnsi="Times New Roman" w:cs="Times New Roman"/>
          <w:sz w:val="26"/>
          <w:szCs w:val="26"/>
          <w:lang w:val="uk-UA"/>
        </w:rPr>
        <w:t>проекту</w:t>
      </w:r>
      <w:r w:rsidR="008A38A3">
        <w:rPr>
          <w:rFonts w:ascii="Times New Roman" w:hAnsi="Times New Roman" w:cs="Times New Roman"/>
          <w:sz w:val="26"/>
          <w:szCs w:val="26"/>
          <w:lang w:val="uk-UA"/>
        </w:rPr>
        <w:t xml:space="preserve"> газопроводу</w:t>
      </w:r>
      <w:r w:rsidR="00500434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«Північний потік – 2», що породить серйозну проблему </w:t>
      </w:r>
      <w:r w:rsidR="003B625C">
        <w:rPr>
          <w:rFonts w:ascii="Times New Roman" w:hAnsi="Times New Roman" w:cs="Times New Roman"/>
          <w:sz w:val="26"/>
          <w:szCs w:val="26"/>
          <w:lang w:val="uk-UA"/>
        </w:rPr>
        <w:t xml:space="preserve">для </w:t>
      </w:r>
      <w:r w:rsidR="00500434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незалежного та рентабельного функціонування ГТС України після </w:t>
      </w:r>
      <w:r w:rsidR="00500434" w:rsidRPr="00C4495B">
        <w:rPr>
          <w:rFonts w:ascii="Times New Roman" w:hAnsi="Times New Roman" w:cs="Times New Roman"/>
          <w:sz w:val="26"/>
          <w:szCs w:val="26"/>
        </w:rPr>
        <w:t>unbundling</w:t>
      </w:r>
      <w:r w:rsidR="00500434" w:rsidRPr="00C4495B">
        <w:rPr>
          <w:rFonts w:ascii="Times New Roman" w:hAnsi="Times New Roman" w:cs="Times New Roman"/>
          <w:sz w:val="26"/>
          <w:szCs w:val="26"/>
          <w:lang w:val="uk-UA"/>
        </w:rPr>
        <w:t xml:space="preserve"> НАК «Нафтогаз України» та виокремлення з нього «Укртрансгазу». </w:t>
      </w:r>
    </w:p>
    <w:p w:rsidR="00A76C86" w:rsidRDefault="00A76C86" w:rsidP="006055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Виклик №6 – бездіяльність уряду та «Нафтогазу» у питанні повернення контролю над газовидобувними активами на мілководному шельфі Чорного моря. Відсутність будь-яких дій як з боку уряду, так і з боку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НАКу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посилює підозри про наявність прихованих домовленостей щодо «забуття» даного питання з боку України</w:t>
      </w:r>
      <w:r w:rsidR="00725366" w:rsidRPr="00725366">
        <w:rPr>
          <w:rFonts w:ascii="Times New Roman" w:hAnsi="Times New Roman" w:cs="Times New Roman"/>
          <w:sz w:val="26"/>
          <w:szCs w:val="26"/>
          <w:lang w:val="uk-UA"/>
        </w:rPr>
        <w:t>, подібно до того, як це має місце у випадку зі справою про «вишки Бойка»</w:t>
      </w:r>
      <w:r w:rsidR="0071665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716654" w:rsidRDefault="00716654" w:rsidP="006055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Виклик №7 – можливі непорозуміння у </w:t>
      </w:r>
      <w:r w:rsidR="00380C4F">
        <w:rPr>
          <w:rFonts w:ascii="Times New Roman" w:hAnsi="Times New Roman" w:cs="Times New Roman"/>
          <w:sz w:val="26"/>
          <w:szCs w:val="26"/>
          <w:lang w:val="uk-UA"/>
        </w:rPr>
        <w:t>4-к</w:t>
      </w:r>
      <w:r>
        <w:rPr>
          <w:rFonts w:ascii="Times New Roman" w:hAnsi="Times New Roman" w:cs="Times New Roman"/>
          <w:sz w:val="26"/>
          <w:szCs w:val="26"/>
          <w:lang w:val="uk-UA"/>
        </w:rPr>
        <w:t>утнику Уряд – Нафтогаз – Міжнародні фінансові організації</w:t>
      </w:r>
      <w:r w:rsidR="00380C4F">
        <w:rPr>
          <w:rFonts w:ascii="Times New Roman" w:hAnsi="Times New Roman" w:cs="Times New Roman"/>
          <w:sz w:val="26"/>
          <w:szCs w:val="26"/>
          <w:lang w:val="uk-UA"/>
        </w:rPr>
        <w:t xml:space="preserve"> - Єврокомісія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щодо реформування газового сектору.</w:t>
      </w:r>
      <w:r w:rsidR="00380C4F">
        <w:rPr>
          <w:rFonts w:ascii="Times New Roman" w:hAnsi="Times New Roman" w:cs="Times New Roman"/>
          <w:sz w:val="26"/>
          <w:szCs w:val="26"/>
          <w:lang w:val="uk-UA"/>
        </w:rPr>
        <w:t xml:space="preserve"> Зарубіжні партнери України часто діють шаблонно, що неприйнятно для української сторони в умовах продовження російської агресії.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8A38A3" w:rsidRDefault="008A38A3" w:rsidP="008A38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54D19" w:rsidRPr="00154D19" w:rsidRDefault="00154D19" w:rsidP="00154D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У цілому 2016 рік може виявитися сприятливим для України як з точки зору низької ціни на газ на європейському ринку, так і з точки зору проблем, що виникли у Росії з її обхідними стосовно України проектами. Російська преса вже відзначає: «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После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отказа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от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проекта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«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Южный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поток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>» и заморозки «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Турецкого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потока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» у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России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может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не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остаться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альтернативы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продлению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транзитного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контракта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с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Украиной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который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истекает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в 2020 году. «Газпром» уже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готов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к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непростым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переговорам с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Киевом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Впрочем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продолжение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транзита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через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Украину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может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оказаться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для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российской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газовой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монополии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менее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затратным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чем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строительство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новых</w:t>
      </w:r>
      <w:proofErr w:type="spellEnd"/>
      <w:r w:rsidRPr="00154D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154D19">
        <w:rPr>
          <w:rFonts w:ascii="Times New Roman" w:hAnsi="Times New Roman" w:cs="Times New Roman"/>
          <w:sz w:val="26"/>
          <w:szCs w:val="26"/>
          <w:lang w:val="uk-UA"/>
        </w:rPr>
        <w:t>газопроводов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>»</w:t>
      </w:r>
      <w:r w:rsidRPr="00154D19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154D19" w:rsidRDefault="00154D19" w:rsidP="008A38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B625C" w:rsidRDefault="008A38A3" w:rsidP="008A38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A38A3">
        <w:rPr>
          <w:rFonts w:ascii="Times New Roman" w:hAnsi="Times New Roman" w:cs="Times New Roman"/>
          <w:sz w:val="26"/>
          <w:szCs w:val="26"/>
          <w:lang w:val="uk-UA"/>
        </w:rPr>
        <w:t xml:space="preserve">Суттєве скорочення імпорту газу з РФ та нейтралізація газо-політичного «чинника Фірташа» у 2015 році через </w:t>
      </w:r>
      <w:r w:rsidR="00716654">
        <w:rPr>
          <w:rFonts w:ascii="Times New Roman" w:hAnsi="Times New Roman" w:cs="Times New Roman"/>
          <w:sz w:val="26"/>
          <w:szCs w:val="26"/>
          <w:lang w:val="uk-UA"/>
        </w:rPr>
        <w:t xml:space="preserve">його конфлікт з Департаментом юстиції США </w:t>
      </w:r>
      <w:r w:rsidRPr="008A38A3">
        <w:rPr>
          <w:rFonts w:ascii="Times New Roman" w:hAnsi="Times New Roman" w:cs="Times New Roman"/>
          <w:sz w:val="26"/>
          <w:szCs w:val="26"/>
          <w:lang w:val="uk-UA"/>
        </w:rPr>
        <w:t xml:space="preserve"> дещо блокує можливості однієї з прокремлівських груп впливу (Фірташ – Бойко – </w:t>
      </w:r>
      <w:proofErr w:type="spellStart"/>
      <w:r w:rsidRPr="008A38A3">
        <w:rPr>
          <w:rFonts w:ascii="Times New Roman" w:hAnsi="Times New Roman" w:cs="Times New Roman"/>
          <w:sz w:val="26"/>
          <w:szCs w:val="26"/>
          <w:lang w:val="uk-UA"/>
        </w:rPr>
        <w:t>Льовочкін</w:t>
      </w:r>
      <w:proofErr w:type="spellEnd"/>
      <w:r w:rsidRPr="008A38A3">
        <w:rPr>
          <w:rFonts w:ascii="Times New Roman" w:hAnsi="Times New Roman" w:cs="Times New Roman"/>
          <w:sz w:val="26"/>
          <w:szCs w:val="26"/>
          <w:lang w:val="uk-UA"/>
        </w:rPr>
        <w:t>)</w:t>
      </w:r>
      <w:r w:rsidR="003B625C">
        <w:rPr>
          <w:rFonts w:ascii="Times New Roman" w:hAnsi="Times New Roman" w:cs="Times New Roman"/>
          <w:sz w:val="26"/>
          <w:szCs w:val="26"/>
          <w:lang w:val="uk-UA"/>
        </w:rPr>
        <w:t xml:space="preserve"> та відповідно, можливості РФ по дестабілізації України зсередини</w:t>
      </w:r>
      <w:r w:rsidRPr="008A38A3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</w:p>
    <w:p w:rsidR="003B625C" w:rsidRDefault="003B625C" w:rsidP="008A38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8A38A3" w:rsidRPr="008A38A3" w:rsidRDefault="008A38A3" w:rsidP="008A38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A38A3">
        <w:rPr>
          <w:rFonts w:ascii="Times New Roman" w:hAnsi="Times New Roman" w:cs="Times New Roman"/>
          <w:sz w:val="26"/>
          <w:szCs w:val="26"/>
          <w:lang w:val="uk-UA"/>
        </w:rPr>
        <w:t xml:space="preserve">Однак, успіхи з </w:t>
      </w:r>
      <w:proofErr w:type="spellStart"/>
      <w:r w:rsidRPr="008A38A3">
        <w:rPr>
          <w:rFonts w:ascii="Times New Roman" w:hAnsi="Times New Roman" w:cs="Times New Roman"/>
          <w:sz w:val="26"/>
          <w:szCs w:val="26"/>
          <w:lang w:val="uk-UA"/>
        </w:rPr>
        <w:t>унезалежнення</w:t>
      </w:r>
      <w:proofErr w:type="spellEnd"/>
      <w:r w:rsidRPr="008A38A3">
        <w:rPr>
          <w:rFonts w:ascii="Times New Roman" w:hAnsi="Times New Roman" w:cs="Times New Roman"/>
          <w:sz w:val="26"/>
          <w:szCs w:val="26"/>
          <w:lang w:val="uk-UA"/>
        </w:rPr>
        <w:t xml:space="preserve"> в газовому секторі нейтралізовані провалами у вугільному та електроенергетичному. Організовані політичні групи (ОПГ), пов’язані з Р. Ахметовим (прем’єрський табір) та К. Григоришиним (президентський табір) створили додаткові ефекти залежності від постачань вугілля з підконтрольних Росії окупованих територій Донбасу та імпорту електроенергії з РФ. Зусиллями ОПГ було заблоковано консолідацію влади з енергетичного </w:t>
      </w:r>
      <w:proofErr w:type="spellStart"/>
      <w:r w:rsidRPr="008A38A3">
        <w:rPr>
          <w:rFonts w:ascii="Times New Roman" w:hAnsi="Times New Roman" w:cs="Times New Roman"/>
          <w:sz w:val="26"/>
          <w:szCs w:val="26"/>
          <w:lang w:val="uk-UA"/>
        </w:rPr>
        <w:t>унезалежнення</w:t>
      </w:r>
      <w:proofErr w:type="spellEnd"/>
      <w:r w:rsidRPr="008A38A3">
        <w:rPr>
          <w:rFonts w:ascii="Times New Roman" w:hAnsi="Times New Roman" w:cs="Times New Roman"/>
          <w:sz w:val="26"/>
          <w:szCs w:val="26"/>
          <w:lang w:val="uk-UA"/>
        </w:rPr>
        <w:t xml:space="preserve"> країни та створено додатковий конфлікт інтересів на лінії Президент – Прем</w:t>
      </w:r>
      <w:r w:rsidRPr="008A38A3">
        <w:rPr>
          <w:rFonts w:ascii="Times New Roman" w:hAnsi="Times New Roman" w:cs="Times New Roman"/>
          <w:sz w:val="26"/>
          <w:szCs w:val="26"/>
          <w:lang w:val="ru-RU"/>
        </w:rPr>
        <w:t>’</w:t>
      </w:r>
      <w:proofErr w:type="spellStart"/>
      <w:r w:rsidRPr="008A38A3">
        <w:rPr>
          <w:rFonts w:ascii="Times New Roman" w:hAnsi="Times New Roman" w:cs="Times New Roman"/>
          <w:sz w:val="26"/>
          <w:szCs w:val="26"/>
          <w:lang w:val="uk-UA"/>
        </w:rPr>
        <w:t>єр</w:t>
      </w:r>
      <w:proofErr w:type="spellEnd"/>
      <w:r w:rsidRPr="008A38A3">
        <w:rPr>
          <w:rFonts w:ascii="Times New Roman" w:hAnsi="Times New Roman" w:cs="Times New Roman"/>
          <w:sz w:val="26"/>
          <w:szCs w:val="26"/>
          <w:lang w:val="uk-UA"/>
        </w:rPr>
        <w:t xml:space="preserve">. Тому </w:t>
      </w:r>
      <w:r w:rsidR="00A37699">
        <w:rPr>
          <w:rFonts w:ascii="Times New Roman" w:hAnsi="Times New Roman" w:cs="Times New Roman"/>
          <w:sz w:val="26"/>
          <w:szCs w:val="26"/>
          <w:lang w:val="uk-UA"/>
        </w:rPr>
        <w:t xml:space="preserve">багатовимірним </w:t>
      </w:r>
      <w:r w:rsidRPr="008A38A3">
        <w:rPr>
          <w:rFonts w:ascii="Times New Roman" w:hAnsi="Times New Roman" w:cs="Times New Roman"/>
          <w:sz w:val="26"/>
          <w:szCs w:val="26"/>
          <w:lang w:val="uk-UA"/>
        </w:rPr>
        <w:t xml:space="preserve">викликом </w:t>
      </w:r>
      <w:r>
        <w:rPr>
          <w:rFonts w:ascii="Times New Roman" w:hAnsi="Times New Roman" w:cs="Times New Roman"/>
          <w:sz w:val="26"/>
          <w:szCs w:val="26"/>
          <w:lang w:val="uk-UA"/>
        </w:rPr>
        <w:t>є</w:t>
      </w:r>
      <w:r w:rsidR="00A37699">
        <w:rPr>
          <w:rFonts w:ascii="Times New Roman" w:hAnsi="Times New Roman" w:cs="Times New Roman"/>
          <w:sz w:val="26"/>
          <w:szCs w:val="26"/>
          <w:lang w:val="uk-UA"/>
        </w:rPr>
        <w:t xml:space="preserve"> висока ймовірність політичної кризи</w:t>
      </w:r>
      <w:r w:rsidRPr="008A38A3">
        <w:rPr>
          <w:rFonts w:ascii="Times New Roman" w:hAnsi="Times New Roman" w:cs="Times New Roman"/>
          <w:sz w:val="26"/>
          <w:szCs w:val="26"/>
          <w:lang w:val="uk-UA"/>
        </w:rPr>
        <w:t xml:space="preserve"> грудня 2015 року, що матиме не тільки всеохоплюючий характер, але й </w:t>
      </w:r>
      <w:bookmarkStart w:id="0" w:name="_GoBack"/>
      <w:bookmarkEnd w:id="0"/>
      <w:r w:rsidRPr="008A38A3">
        <w:rPr>
          <w:rFonts w:ascii="Times New Roman" w:hAnsi="Times New Roman" w:cs="Times New Roman"/>
          <w:sz w:val="26"/>
          <w:szCs w:val="26"/>
          <w:lang w:val="uk-UA"/>
        </w:rPr>
        <w:t xml:space="preserve">пошириться далі на різні сектори економіки та енергетики, що перебувають під контролем тих чи інших ОПГ.   </w:t>
      </w:r>
    </w:p>
    <w:p w:rsidR="008A38A3" w:rsidRDefault="008A38A3" w:rsidP="008A38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54D19" w:rsidRDefault="00154D19" w:rsidP="008A38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E0255" w:rsidRDefault="009E0255" w:rsidP="008A38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07C5C" w:rsidRDefault="00B07C5C" w:rsidP="008A38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E0255" w:rsidRPr="009E0255" w:rsidRDefault="009E0255" w:rsidP="008A38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E0255">
        <w:rPr>
          <w:rFonts w:ascii="Times New Roman" w:hAnsi="Times New Roman" w:cs="Times New Roman"/>
          <w:b/>
          <w:sz w:val="24"/>
          <w:szCs w:val="24"/>
          <w:lang w:val="uk-UA"/>
        </w:rPr>
        <w:t xml:space="preserve">© При використанні </w:t>
      </w:r>
      <w:proofErr w:type="spellStart"/>
      <w:r w:rsidRPr="009E0255">
        <w:rPr>
          <w:rFonts w:ascii="Times New Roman" w:hAnsi="Times New Roman" w:cs="Times New Roman"/>
          <w:b/>
          <w:sz w:val="24"/>
          <w:szCs w:val="24"/>
          <w:lang w:val="uk-UA"/>
        </w:rPr>
        <w:t>обов</w:t>
      </w:r>
      <w:proofErr w:type="spellEnd"/>
      <w:r w:rsidRPr="009E0255">
        <w:rPr>
          <w:rFonts w:ascii="Times New Roman" w:hAnsi="Times New Roman" w:cs="Times New Roman"/>
          <w:b/>
          <w:sz w:val="24"/>
          <w:szCs w:val="24"/>
          <w:lang w:val="ru-RU"/>
        </w:rPr>
        <w:t>’</w:t>
      </w:r>
      <w:proofErr w:type="spellStart"/>
      <w:r w:rsidRPr="009E0255">
        <w:rPr>
          <w:rFonts w:ascii="Times New Roman" w:hAnsi="Times New Roman" w:cs="Times New Roman"/>
          <w:b/>
          <w:sz w:val="24"/>
          <w:szCs w:val="24"/>
          <w:lang w:val="uk-UA"/>
        </w:rPr>
        <w:t>язкове</w:t>
      </w:r>
      <w:proofErr w:type="spellEnd"/>
      <w:r w:rsidRPr="009E025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посилання на джерела Центр «Стратегія ХХІ» та </w:t>
      </w:r>
      <w:r w:rsidRPr="009E0255">
        <w:rPr>
          <w:rFonts w:ascii="Times New Roman" w:hAnsi="Times New Roman" w:cs="Times New Roman"/>
          <w:b/>
          <w:sz w:val="24"/>
          <w:szCs w:val="24"/>
        </w:rPr>
        <w:t>Q</w:t>
      </w:r>
      <w:r w:rsidRPr="009E0255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9E025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клуб. </w:t>
      </w:r>
    </w:p>
    <w:sectPr w:rsidR="009E0255" w:rsidRPr="009E0255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426E0"/>
    <w:multiLevelType w:val="hybridMultilevel"/>
    <w:tmpl w:val="6A50E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576FE"/>
    <w:multiLevelType w:val="hybridMultilevel"/>
    <w:tmpl w:val="0E2E4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80F"/>
    <w:rsid w:val="00037FEF"/>
    <w:rsid w:val="00062CB3"/>
    <w:rsid w:val="000D12F1"/>
    <w:rsid w:val="001524FD"/>
    <w:rsid w:val="00154D19"/>
    <w:rsid w:val="00230D39"/>
    <w:rsid w:val="002746D7"/>
    <w:rsid w:val="002E48D7"/>
    <w:rsid w:val="00340899"/>
    <w:rsid w:val="00380C4F"/>
    <w:rsid w:val="003B625C"/>
    <w:rsid w:val="003B7225"/>
    <w:rsid w:val="00401A20"/>
    <w:rsid w:val="004328C2"/>
    <w:rsid w:val="00453C5C"/>
    <w:rsid w:val="00476B13"/>
    <w:rsid w:val="00500434"/>
    <w:rsid w:val="00523C60"/>
    <w:rsid w:val="005254AD"/>
    <w:rsid w:val="0060550A"/>
    <w:rsid w:val="00716654"/>
    <w:rsid w:val="00725366"/>
    <w:rsid w:val="007970E4"/>
    <w:rsid w:val="007D5489"/>
    <w:rsid w:val="00856670"/>
    <w:rsid w:val="008A38A3"/>
    <w:rsid w:val="009201AE"/>
    <w:rsid w:val="00936DBE"/>
    <w:rsid w:val="009E0255"/>
    <w:rsid w:val="009E6910"/>
    <w:rsid w:val="00A37699"/>
    <w:rsid w:val="00A40549"/>
    <w:rsid w:val="00A76C86"/>
    <w:rsid w:val="00B07C5C"/>
    <w:rsid w:val="00BB4030"/>
    <w:rsid w:val="00C07FFC"/>
    <w:rsid w:val="00C27AF9"/>
    <w:rsid w:val="00C4495B"/>
    <w:rsid w:val="00C83A25"/>
    <w:rsid w:val="00CE3395"/>
    <w:rsid w:val="00D33B6E"/>
    <w:rsid w:val="00DD59D5"/>
    <w:rsid w:val="00DF0E46"/>
    <w:rsid w:val="00E532F6"/>
    <w:rsid w:val="00F1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09BAF"/>
  <w15:chartTrackingRefBased/>
  <w15:docId w15:val="{8D60E8A4-1E9D-4C44-A137-0E08000D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 Mig</dc:creator>
  <cp:keywords/>
  <dc:description/>
  <cp:lastModifiedBy>Rey Mig</cp:lastModifiedBy>
  <cp:revision>32</cp:revision>
  <dcterms:created xsi:type="dcterms:W3CDTF">2015-12-06T05:04:00Z</dcterms:created>
  <dcterms:modified xsi:type="dcterms:W3CDTF">2015-12-06T19:06:00Z</dcterms:modified>
</cp:coreProperties>
</file>